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F3B" w:rsidRPr="00937944" w:rsidRDefault="00937944" w:rsidP="00937944">
      <w:pPr>
        <w:jc w:val="right"/>
        <w:rPr>
          <w:rFonts w:ascii="Tahoma" w:hAnsi="Tahoma" w:cs="Tahoma"/>
          <w:b/>
          <w:sz w:val="21"/>
          <w:szCs w:val="21"/>
        </w:rPr>
      </w:pPr>
      <w:r w:rsidRPr="00937944">
        <w:rPr>
          <w:rFonts w:ascii="Tahoma" w:hAnsi="Tahoma" w:cs="Tahoma"/>
          <w:b/>
          <w:sz w:val="21"/>
          <w:szCs w:val="21"/>
        </w:rPr>
        <w:t>Додаток 2</w:t>
      </w:r>
    </w:p>
    <w:p w:rsidR="00937944" w:rsidRDefault="00937944" w:rsidP="00937944">
      <w:pPr>
        <w:jc w:val="right"/>
        <w:rPr>
          <w:rFonts w:ascii="Tahoma" w:hAnsi="Tahoma" w:cs="Tahoma"/>
          <w:b/>
          <w:sz w:val="21"/>
          <w:szCs w:val="21"/>
        </w:rPr>
      </w:pPr>
    </w:p>
    <w:p w:rsidR="00937944" w:rsidRDefault="00937944" w:rsidP="00937944">
      <w:pPr>
        <w:jc w:val="center"/>
        <w:rPr>
          <w:rFonts w:ascii="Tahoma" w:hAnsi="Tahoma" w:cs="Tahoma"/>
          <w:b/>
          <w:sz w:val="21"/>
          <w:szCs w:val="21"/>
        </w:rPr>
      </w:pPr>
      <w:r>
        <w:rPr>
          <w:rFonts w:ascii="Tahoma" w:hAnsi="Tahoma" w:cs="Tahoma"/>
          <w:b/>
          <w:sz w:val="21"/>
          <w:szCs w:val="21"/>
        </w:rPr>
        <w:t>Тестове завдання</w:t>
      </w:r>
    </w:p>
    <w:p w:rsidR="00937944" w:rsidRDefault="00937944" w:rsidP="00937944">
      <w:pPr>
        <w:jc w:val="center"/>
        <w:rPr>
          <w:rFonts w:ascii="Tahoma" w:hAnsi="Tahoma" w:cs="Tahoma"/>
          <w:b/>
          <w:sz w:val="21"/>
          <w:szCs w:val="21"/>
        </w:rPr>
      </w:pPr>
    </w:p>
    <w:p w:rsidR="00937944" w:rsidRPr="00937944" w:rsidRDefault="00937944" w:rsidP="00937944">
      <w:pPr>
        <w:jc w:val="both"/>
        <w:rPr>
          <w:rFonts w:ascii="Tahoma" w:hAnsi="Tahoma" w:cs="Tahoma"/>
          <w:b/>
          <w:sz w:val="21"/>
          <w:szCs w:val="21"/>
          <w:u w:val="single"/>
        </w:rPr>
      </w:pPr>
      <w:r w:rsidRPr="00937944">
        <w:rPr>
          <w:rFonts w:ascii="Tahoma" w:hAnsi="Tahoma" w:cs="Tahoma"/>
          <w:b/>
          <w:sz w:val="21"/>
          <w:szCs w:val="21"/>
          <w:u w:val="single"/>
        </w:rPr>
        <w:t>1. Перекласти текст на українську та російську мови</w:t>
      </w:r>
    </w:p>
    <w:p w:rsidR="00937944" w:rsidRPr="00937944" w:rsidRDefault="00937944" w:rsidP="00937944">
      <w:pPr>
        <w:pStyle w:val="a3"/>
        <w:spacing w:after="120"/>
        <w:ind w:left="0"/>
        <w:jc w:val="both"/>
        <w:rPr>
          <w:rFonts w:ascii="Tahoma" w:hAnsi="Tahoma" w:cs="Tahoma"/>
          <w:sz w:val="21"/>
          <w:szCs w:val="21"/>
          <w:lang w:val="en-US"/>
        </w:rPr>
      </w:pPr>
      <w:r w:rsidRPr="00937944">
        <w:rPr>
          <w:rFonts w:ascii="Tahoma" w:hAnsi="Tahoma" w:cs="Tahoma"/>
          <w:sz w:val="21"/>
          <w:szCs w:val="21"/>
          <w:lang w:val="en-US"/>
        </w:rPr>
        <w:t xml:space="preserve">HIV/AIDS is a comprehensive problem dealing with medical, social, economic, human rights and other issues.  In Ukraine in has been always difficult to define a single high-level government authority that would take the responsibility for the whole HIV/AIDS response in the country.  For instance, it is clear that the </w:t>
      </w:r>
      <w:proofErr w:type="spellStart"/>
      <w:r w:rsidRPr="00937944">
        <w:rPr>
          <w:rFonts w:ascii="Tahoma" w:hAnsi="Tahoma" w:cs="Tahoma"/>
          <w:sz w:val="21"/>
          <w:szCs w:val="21"/>
          <w:lang w:val="en-US"/>
        </w:rPr>
        <w:t>MoH</w:t>
      </w:r>
      <w:proofErr w:type="spellEnd"/>
      <w:r w:rsidRPr="00937944">
        <w:rPr>
          <w:rFonts w:ascii="Tahoma" w:hAnsi="Tahoma" w:cs="Tahoma"/>
          <w:sz w:val="21"/>
          <w:szCs w:val="21"/>
          <w:lang w:val="en-US"/>
        </w:rPr>
        <w:t xml:space="preserve"> is in charge of treatment issue, but placing the responsibility for social services for MARPs such as prevention/care and support at one Ministry has always been problematic.  With the establishment of the State HIV/AIDS Service in 2007 (State HIV/AIDS Committee at that moment), the implementation of HIV/AIDS related activities has become more coordinated. At the same time, the state HIV policy and programming is carried out at higher government levels and being an executive body, HIV/AIDS Service doesn’t always have a possibility to influence high-level decisions.  Meanwhile, highest government official lack strategic vision regarding HIV/AIDS programs.  There are 48 entities involved in the implementation of the current National AIDS Program but the entity responsible for coordination, monitoring and oversight of the activities has never been defined.</w:t>
      </w:r>
    </w:p>
    <w:p w:rsidR="00937944" w:rsidRPr="00937944" w:rsidRDefault="00937944" w:rsidP="00937944">
      <w:pPr>
        <w:pStyle w:val="a3"/>
        <w:spacing w:after="120"/>
        <w:ind w:left="0"/>
        <w:jc w:val="both"/>
        <w:rPr>
          <w:rFonts w:ascii="Tahoma" w:hAnsi="Tahoma" w:cs="Tahoma"/>
          <w:sz w:val="21"/>
          <w:szCs w:val="21"/>
          <w:lang w:val="en-US"/>
        </w:rPr>
      </w:pPr>
    </w:p>
    <w:p w:rsidR="00937944" w:rsidRDefault="00937944" w:rsidP="00937944">
      <w:pPr>
        <w:pStyle w:val="a3"/>
        <w:spacing w:after="120"/>
        <w:ind w:left="0"/>
        <w:jc w:val="both"/>
        <w:rPr>
          <w:rFonts w:ascii="Tahoma" w:hAnsi="Tahoma" w:cs="Tahoma"/>
          <w:sz w:val="21"/>
          <w:szCs w:val="21"/>
        </w:rPr>
      </w:pPr>
      <w:r w:rsidRPr="00937944">
        <w:rPr>
          <w:rFonts w:ascii="Tahoma" w:hAnsi="Tahoma" w:cs="Tahoma"/>
          <w:sz w:val="21"/>
          <w:szCs w:val="21"/>
          <w:lang w:val="en-US"/>
        </w:rPr>
        <w:t>To ensure effective HIV policy programming and implementation it is crucial to facilitate meaningful involvement of the relevant Ministries in the processes of planning, implementation and monitoring of HIV/AIDS related activities.  Strong liaisons must be built among different government structures involved in the epidemic response.  State-of-art evidence based approaches and interventions have to be the basis of the government HIV strategy.  At the moment government HIV strategy doesn’t exist, and state HIV programs are planned taking into consideration nothing but the available resources which often do not correlate with the actual needs.</w:t>
      </w:r>
    </w:p>
    <w:p w:rsidR="00937944" w:rsidRDefault="00937944" w:rsidP="00937944">
      <w:pPr>
        <w:pStyle w:val="a3"/>
        <w:spacing w:after="120"/>
        <w:ind w:left="0"/>
        <w:jc w:val="both"/>
        <w:rPr>
          <w:rFonts w:ascii="Tahoma" w:hAnsi="Tahoma" w:cs="Tahoma"/>
          <w:sz w:val="21"/>
          <w:szCs w:val="21"/>
        </w:rPr>
      </w:pPr>
    </w:p>
    <w:p w:rsidR="00937944" w:rsidRDefault="00937944" w:rsidP="00937944">
      <w:pPr>
        <w:pStyle w:val="a3"/>
        <w:spacing w:after="120"/>
        <w:ind w:left="0"/>
        <w:jc w:val="both"/>
        <w:rPr>
          <w:rFonts w:ascii="Tahoma" w:hAnsi="Tahoma" w:cs="Tahoma"/>
          <w:b/>
          <w:sz w:val="21"/>
          <w:szCs w:val="21"/>
          <w:u w:val="single"/>
        </w:rPr>
      </w:pPr>
    </w:p>
    <w:p w:rsidR="00937944" w:rsidRPr="00937944" w:rsidRDefault="00937944" w:rsidP="00937944">
      <w:pPr>
        <w:pStyle w:val="a3"/>
        <w:spacing w:after="120"/>
        <w:ind w:left="0"/>
        <w:jc w:val="both"/>
        <w:rPr>
          <w:rFonts w:ascii="Tahoma" w:hAnsi="Tahoma" w:cs="Tahoma"/>
          <w:b/>
          <w:sz w:val="21"/>
          <w:szCs w:val="21"/>
          <w:u w:val="single"/>
        </w:rPr>
      </w:pPr>
      <w:r w:rsidRPr="00937944">
        <w:rPr>
          <w:rFonts w:ascii="Tahoma" w:hAnsi="Tahoma" w:cs="Tahoma"/>
          <w:b/>
          <w:sz w:val="21"/>
          <w:szCs w:val="21"/>
          <w:u w:val="single"/>
        </w:rPr>
        <w:t>2. Перекласти текст на англійську та російську</w:t>
      </w:r>
      <w:r>
        <w:rPr>
          <w:rFonts w:ascii="Tahoma" w:hAnsi="Tahoma" w:cs="Tahoma"/>
          <w:b/>
          <w:sz w:val="21"/>
          <w:szCs w:val="21"/>
          <w:u w:val="single"/>
        </w:rPr>
        <w:t xml:space="preserve"> мови</w:t>
      </w:r>
    </w:p>
    <w:p w:rsidR="00937944" w:rsidRPr="00937944" w:rsidRDefault="00937944" w:rsidP="00937944">
      <w:pPr>
        <w:pStyle w:val="2"/>
        <w:spacing w:before="120" w:after="0" w:line="240" w:lineRule="auto"/>
        <w:jc w:val="both"/>
        <w:rPr>
          <w:rFonts w:ascii="Tahoma" w:hAnsi="Tahoma" w:cs="Tahoma"/>
          <w:sz w:val="21"/>
          <w:szCs w:val="21"/>
          <w:lang w:val="uk-UA"/>
        </w:rPr>
      </w:pPr>
      <w:r w:rsidRPr="00937944">
        <w:rPr>
          <w:rFonts w:ascii="Tahoma" w:hAnsi="Tahoma" w:cs="Tahoma"/>
          <w:sz w:val="21"/>
          <w:szCs w:val="21"/>
          <w:lang w:val="uk-UA"/>
        </w:rPr>
        <w:t xml:space="preserve">Увесь рух готівки в касі відображається в касовій книзі. Організація веде єдину касову книгу. Усі аркуші касової книги мають бути пронумеровані, прошнуровані та на останній сторінці скріплені відбитком печатки організації, а також засвідчені підписами керівника й головного бухгалтера організації. Усі записи в книзі здійснюються у двох примірниках (через копіювальний папір) чорнилом темного кольору. Перший примірник – «Вкладний аркуш касової книги» − залишається в касовій книзі. А другий (відривна частина) – «Звіт касира» − документ, за яким касир звітує про рух готівки в касі за день, передається у відділ бухгалтерського обліку. «Звіт касира» зберігають в одній папці з видатковими касовими ордерами (ВКО) та прибутковими касовими ордерами (ПКО), виписаними за день. Будь-які записи в касовій книзі проводять на підставі касового ордера в день його складання. Якщо за робочий день не було руху готівки, то записи в касовій книзі не робляться, навіть якщо на початок дня були залишки. Наприкінці дня касир підсумовує операції за день, виводить залишок готівки в касі на початок наступного дня й передає до відділу бухгалтерського обліку «Звіт касира», другий (відривний) примірник аркуша касової книги разом із ПКО та ВКО (п. 4.3 Положення про касові операції).   </w:t>
      </w:r>
    </w:p>
    <w:p w:rsidR="00937944" w:rsidRPr="00937944" w:rsidRDefault="00937944" w:rsidP="00937944">
      <w:pPr>
        <w:pStyle w:val="2"/>
        <w:spacing w:before="120" w:after="0" w:line="240" w:lineRule="auto"/>
        <w:jc w:val="both"/>
        <w:rPr>
          <w:rFonts w:ascii="Tahoma" w:hAnsi="Tahoma" w:cs="Tahoma"/>
          <w:sz w:val="21"/>
          <w:szCs w:val="21"/>
          <w:lang w:val="uk-UA"/>
        </w:rPr>
      </w:pPr>
      <w:r w:rsidRPr="00937944">
        <w:rPr>
          <w:rFonts w:ascii="Tahoma" w:hAnsi="Tahoma" w:cs="Tahoma"/>
          <w:sz w:val="21"/>
          <w:szCs w:val="21"/>
          <w:lang w:val="uk-UA"/>
        </w:rPr>
        <w:t>Готівкові кошти, які надходять до каси Організації, мають бути в кожному випадку оприбутковані за допомогою ПКО. Оформлений ПКО виписують в одному примірнику, він реєструється в Журналі реєстрації прибуткових і видаткових касових ордерів, потім його підписує головний бухгалтер або інша особа, уповноважена керівником підприємства. ПКО, за яким отримана готівка, додається до першого примірника звіту касира.</w:t>
      </w:r>
    </w:p>
    <w:p w:rsidR="00937944" w:rsidRPr="00937944" w:rsidRDefault="00937944" w:rsidP="00937944">
      <w:pPr>
        <w:pStyle w:val="2"/>
        <w:spacing w:before="120" w:after="0" w:line="240" w:lineRule="auto"/>
        <w:jc w:val="both"/>
        <w:rPr>
          <w:rFonts w:ascii="Tahoma" w:hAnsi="Tahoma" w:cs="Tahoma"/>
          <w:b/>
          <w:sz w:val="21"/>
          <w:szCs w:val="21"/>
          <w:lang w:val="uk-UA"/>
        </w:rPr>
      </w:pPr>
      <w:r w:rsidRPr="00937944">
        <w:rPr>
          <w:rFonts w:ascii="Tahoma" w:hAnsi="Tahoma" w:cs="Tahoma"/>
          <w:sz w:val="21"/>
          <w:szCs w:val="21"/>
          <w:lang w:val="uk-UA"/>
        </w:rPr>
        <w:t>Видача готівки з каси здійснюється за ВКО. У ВКО фіксують підставу складання та перелічують додані документи. Перш ніж засвідчити ВКО в уповноважених осіб, бухгалтер реєструє його в  Журналі реєстрації прибуткових і видаткових касових ордерів.</w:t>
      </w:r>
      <w:bookmarkStart w:id="0" w:name="_GoBack"/>
      <w:bookmarkEnd w:id="0"/>
    </w:p>
    <w:sectPr w:rsidR="00937944" w:rsidRPr="0093794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041"/>
    <w:rsid w:val="00457041"/>
    <w:rsid w:val="00937944"/>
    <w:rsid w:val="00E71F3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7944"/>
    <w:pPr>
      <w:ind w:left="720"/>
      <w:contextualSpacing/>
    </w:pPr>
  </w:style>
  <w:style w:type="paragraph" w:styleId="2">
    <w:name w:val="Body Text 2"/>
    <w:basedOn w:val="a"/>
    <w:link w:val="20"/>
    <w:unhideWhenUsed/>
    <w:rsid w:val="00937944"/>
    <w:pPr>
      <w:spacing w:after="120" w:line="480" w:lineRule="auto"/>
    </w:pPr>
    <w:rPr>
      <w:rFonts w:ascii="Arial" w:eastAsia="Times New Roman" w:hAnsi="Arial" w:cs="Times New Roman"/>
      <w:sz w:val="24"/>
      <w:szCs w:val="24"/>
      <w:lang w:val="en-ZA"/>
    </w:rPr>
  </w:style>
  <w:style w:type="character" w:customStyle="1" w:styleId="20">
    <w:name w:val="Основной текст 2 Знак"/>
    <w:basedOn w:val="a0"/>
    <w:link w:val="2"/>
    <w:rsid w:val="00937944"/>
    <w:rPr>
      <w:rFonts w:ascii="Arial" w:eastAsia="Times New Roman" w:hAnsi="Arial" w:cs="Times New Roman"/>
      <w:sz w:val="24"/>
      <w:szCs w:val="24"/>
      <w:lang w:val="en-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7944"/>
    <w:pPr>
      <w:ind w:left="720"/>
      <w:contextualSpacing/>
    </w:pPr>
  </w:style>
  <w:style w:type="paragraph" w:styleId="2">
    <w:name w:val="Body Text 2"/>
    <w:basedOn w:val="a"/>
    <w:link w:val="20"/>
    <w:unhideWhenUsed/>
    <w:rsid w:val="00937944"/>
    <w:pPr>
      <w:spacing w:after="120" w:line="480" w:lineRule="auto"/>
    </w:pPr>
    <w:rPr>
      <w:rFonts w:ascii="Arial" w:eastAsia="Times New Roman" w:hAnsi="Arial" w:cs="Times New Roman"/>
      <w:sz w:val="24"/>
      <w:szCs w:val="24"/>
      <w:lang w:val="en-ZA"/>
    </w:rPr>
  </w:style>
  <w:style w:type="character" w:customStyle="1" w:styleId="20">
    <w:name w:val="Основной текст 2 Знак"/>
    <w:basedOn w:val="a0"/>
    <w:link w:val="2"/>
    <w:rsid w:val="00937944"/>
    <w:rPr>
      <w:rFonts w:ascii="Arial" w:eastAsia="Times New Roman" w:hAnsi="Arial" w:cs="Times New Roman"/>
      <w:sz w:val="24"/>
      <w:szCs w:val="24"/>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868515">
      <w:bodyDiv w:val="1"/>
      <w:marLeft w:val="0"/>
      <w:marRight w:val="0"/>
      <w:marTop w:val="0"/>
      <w:marBottom w:val="0"/>
      <w:divBdr>
        <w:top w:val="none" w:sz="0" w:space="0" w:color="auto"/>
        <w:left w:val="none" w:sz="0" w:space="0" w:color="auto"/>
        <w:bottom w:val="none" w:sz="0" w:space="0" w:color="auto"/>
        <w:right w:val="none" w:sz="0" w:space="0" w:color="auto"/>
      </w:divBdr>
    </w:div>
    <w:div w:id="191786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2483</Words>
  <Characters>1416</Characters>
  <Application>Microsoft Office Word</Application>
  <DocSecurity>0</DocSecurity>
  <Lines>11</Lines>
  <Paragraphs>7</Paragraphs>
  <ScaleCrop>false</ScaleCrop>
  <Company/>
  <LinksUpToDate>false</LinksUpToDate>
  <CharactersWithSpaces>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Гаврилюк Оксана</dc:creator>
  <cp:keywords/>
  <dc:description/>
  <cp:lastModifiedBy>Гаврилюк Оксана</cp:lastModifiedBy>
  <cp:revision>2</cp:revision>
  <dcterms:created xsi:type="dcterms:W3CDTF">2015-01-13T09:44:00Z</dcterms:created>
  <dcterms:modified xsi:type="dcterms:W3CDTF">2015-01-13T09:50:00Z</dcterms:modified>
</cp:coreProperties>
</file>